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84" w:rsidRPr="00AB24D7" w:rsidRDefault="00E55184" w:rsidP="00E55184">
      <w:pPr>
        <w:widowControl/>
        <w:jc w:val="left"/>
        <w:rPr>
          <w:rFonts w:ascii="华文仿宋" w:eastAsia="华文仿宋" w:hAnsi="华文仿宋"/>
          <w:sz w:val="32"/>
          <w:szCs w:val="32"/>
        </w:rPr>
      </w:pPr>
      <w:r w:rsidRPr="00AB24D7">
        <w:rPr>
          <w:rFonts w:ascii="华文仿宋" w:eastAsia="华文仿宋" w:hAnsi="华文仿宋" w:hint="eastAsia"/>
          <w:sz w:val="32"/>
          <w:szCs w:val="32"/>
        </w:rPr>
        <w:t xml:space="preserve">附件2： </w:t>
      </w:r>
    </w:p>
    <w:p w:rsidR="00E55184" w:rsidRPr="00AB24D7" w:rsidRDefault="00E55184" w:rsidP="00E55184">
      <w:pPr>
        <w:widowControl/>
        <w:jc w:val="center"/>
        <w:rPr>
          <w:rFonts w:ascii="华文仿宋" w:eastAsia="华文仿宋" w:hAnsi="华文仿宋"/>
          <w:b/>
          <w:sz w:val="36"/>
          <w:szCs w:val="36"/>
        </w:rPr>
      </w:pPr>
      <w:r w:rsidRPr="00AB24D7">
        <w:rPr>
          <w:rFonts w:ascii="华文仿宋" w:eastAsia="华文仿宋" w:hAnsi="华文仿宋" w:hint="eastAsia"/>
          <w:b/>
          <w:sz w:val="36"/>
          <w:szCs w:val="36"/>
        </w:rPr>
        <w:t>主讲人介绍</w:t>
      </w:r>
    </w:p>
    <w:tbl>
      <w:tblPr>
        <w:tblW w:w="9785" w:type="dxa"/>
        <w:jc w:val="center"/>
        <w:tblLook w:val="04A0"/>
      </w:tblPr>
      <w:tblGrid>
        <w:gridCol w:w="700"/>
        <w:gridCol w:w="2465"/>
        <w:gridCol w:w="1417"/>
        <w:gridCol w:w="5203"/>
      </w:tblGrid>
      <w:tr w:rsidR="00E55184" w:rsidRPr="00AB24D7" w:rsidTr="00E5110A">
        <w:trPr>
          <w:trHeight w:val="5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序号</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主题</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主讲人</w:t>
            </w:r>
          </w:p>
        </w:tc>
        <w:tc>
          <w:tcPr>
            <w:tcW w:w="5203" w:type="dxa"/>
            <w:tcBorders>
              <w:top w:val="single" w:sz="4" w:space="0" w:color="auto"/>
              <w:left w:val="nil"/>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背景</w:t>
            </w:r>
          </w:p>
        </w:tc>
      </w:tr>
      <w:tr w:rsidR="00E55184" w:rsidRPr="00AB24D7" w:rsidTr="00E5110A">
        <w:trPr>
          <w:trHeight w:val="216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1</w:t>
            </w:r>
          </w:p>
        </w:tc>
        <w:tc>
          <w:tcPr>
            <w:tcW w:w="2465" w:type="dxa"/>
            <w:tcBorders>
              <w:top w:val="nil"/>
              <w:left w:val="nil"/>
              <w:bottom w:val="single" w:sz="4" w:space="0" w:color="auto"/>
              <w:right w:val="single" w:sz="4" w:space="0" w:color="auto"/>
            </w:tcBorders>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见微知著 先知慎行--另类数据和AI在投研的应用</w:t>
            </w:r>
          </w:p>
        </w:tc>
        <w:tc>
          <w:tcPr>
            <w:tcW w:w="1417" w:type="dxa"/>
            <w:tcBorders>
              <w:top w:val="nil"/>
              <w:left w:val="nil"/>
              <w:bottom w:val="single" w:sz="4" w:space="0" w:color="auto"/>
              <w:right w:val="single" w:sz="4" w:space="0" w:color="auto"/>
            </w:tcBorders>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陈定</w:t>
            </w:r>
            <w:r w:rsidRPr="00AB24D7">
              <w:rPr>
                <w:rFonts w:ascii="华文仿宋" w:eastAsia="华文仿宋" w:hAnsi="华文仿宋" w:cs="宋体" w:hint="eastAsia"/>
                <w:color w:val="000000"/>
                <w:kern w:val="0"/>
                <w:sz w:val="24"/>
                <w:szCs w:val="24"/>
              </w:rPr>
              <w:br/>
              <w:t>杭州衡泰软件有限公司</w:t>
            </w:r>
          </w:p>
        </w:tc>
        <w:tc>
          <w:tcPr>
            <w:tcW w:w="5203" w:type="dxa"/>
            <w:tcBorders>
              <w:top w:val="nil"/>
              <w:left w:val="nil"/>
              <w:bottom w:val="single" w:sz="4" w:space="0" w:color="auto"/>
              <w:right w:val="single" w:sz="4" w:space="0" w:color="auto"/>
            </w:tcBorders>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首席量化专家/首席咨询师； 物理学博士。</w:t>
            </w:r>
            <w:r w:rsidRPr="00AB24D7">
              <w:rPr>
                <w:rFonts w:ascii="华文仿宋" w:eastAsia="华文仿宋" w:hAnsi="华文仿宋" w:cs="宋体" w:hint="eastAsia"/>
                <w:color w:val="000000"/>
                <w:kern w:val="0"/>
                <w:sz w:val="24"/>
                <w:szCs w:val="24"/>
              </w:rPr>
              <w:br/>
              <w:t>10年海外和10年A股市场量化投资研究经验。在美期间，任职于金融咨询公司（GFA)、信用评级机构(Moody’s)、投资银行(JPMorgan)和对冲基金(Stark Investments)等各类金融机构，主要从事利率和信用衍生品定价和量化策略研究。2006年回国，任职于嘉实基金，历任固定收益部、股票投资部和海外投资部首席量化分析师。过去三年以来，专注于AI在另类数据投资决策和风险管理的应用。</w:t>
            </w:r>
          </w:p>
        </w:tc>
      </w:tr>
      <w:tr w:rsidR="00E55184" w:rsidRPr="00AB24D7" w:rsidTr="00E5110A">
        <w:trPr>
          <w:trHeight w:val="135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2</w:t>
            </w:r>
          </w:p>
        </w:tc>
        <w:tc>
          <w:tcPr>
            <w:tcW w:w="2465" w:type="dxa"/>
            <w:tcBorders>
              <w:top w:val="nil"/>
              <w:left w:val="nil"/>
              <w:bottom w:val="single" w:sz="4" w:space="0" w:color="auto"/>
              <w:right w:val="single" w:sz="4" w:space="0" w:color="auto"/>
            </w:tcBorders>
            <w:shd w:val="clear" w:color="auto" w:fill="auto"/>
            <w:noWrap/>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基于开源平台的敏捷开发技术实践</w:t>
            </w:r>
          </w:p>
        </w:tc>
        <w:tc>
          <w:tcPr>
            <w:tcW w:w="1417" w:type="dxa"/>
            <w:tcBorders>
              <w:top w:val="nil"/>
              <w:left w:val="nil"/>
              <w:bottom w:val="single" w:sz="4" w:space="0" w:color="auto"/>
              <w:right w:val="single" w:sz="4" w:space="0" w:color="auto"/>
            </w:tcBorders>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朱瑜</w:t>
            </w:r>
            <w:r w:rsidRPr="00AB24D7">
              <w:rPr>
                <w:rFonts w:ascii="华文仿宋" w:eastAsia="华文仿宋" w:hAnsi="华文仿宋" w:cs="宋体" w:hint="eastAsia"/>
                <w:color w:val="000000"/>
                <w:kern w:val="0"/>
                <w:sz w:val="24"/>
                <w:szCs w:val="24"/>
              </w:rPr>
              <w:br/>
              <w:t>鹏华基金管理有限公司</w:t>
            </w:r>
            <w:r w:rsidRPr="00AB24D7">
              <w:rPr>
                <w:rFonts w:ascii="华文仿宋" w:eastAsia="华文仿宋" w:hAnsi="华文仿宋" w:cs="宋体" w:hint="eastAsia"/>
                <w:color w:val="000000"/>
                <w:kern w:val="0"/>
                <w:sz w:val="24"/>
                <w:szCs w:val="24"/>
              </w:rPr>
              <w:br/>
              <w:t>信息技术部总经理</w:t>
            </w:r>
          </w:p>
        </w:tc>
        <w:tc>
          <w:tcPr>
            <w:tcW w:w="5203" w:type="dxa"/>
            <w:tcBorders>
              <w:top w:val="nil"/>
              <w:left w:val="nil"/>
              <w:bottom w:val="single" w:sz="4" w:space="0" w:color="auto"/>
              <w:right w:val="single" w:sz="4" w:space="0" w:color="auto"/>
            </w:tcBorders>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拥有长达20余年的金融与信息技术从业经历,金融电子化蓬勃发展的见证者，对基金公司的IT运营、系统规划、IT治理、风险控制等领域,具有理论与实战结合的丰富经验。</w:t>
            </w:r>
          </w:p>
        </w:tc>
      </w:tr>
    </w:tbl>
    <w:p w:rsidR="00E55184" w:rsidRDefault="00E55184" w:rsidP="00E55184">
      <w:r>
        <w:br w:type="page"/>
      </w:r>
    </w:p>
    <w:p w:rsidR="00E55184" w:rsidRDefault="00E55184" w:rsidP="00E55184"/>
    <w:tbl>
      <w:tblPr>
        <w:tblW w:w="10531"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2197"/>
        <w:gridCol w:w="1489"/>
        <w:gridCol w:w="5953"/>
      </w:tblGrid>
      <w:tr w:rsidR="00E55184" w:rsidRPr="00AB24D7" w:rsidTr="00E5110A">
        <w:trPr>
          <w:trHeight w:val="518"/>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序号</w:t>
            </w:r>
          </w:p>
        </w:tc>
        <w:tc>
          <w:tcPr>
            <w:tcW w:w="2197"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主题</w:t>
            </w:r>
          </w:p>
        </w:tc>
        <w:tc>
          <w:tcPr>
            <w:tcW w:w="1489" w:type="dxa"/>
            <w:shd w:val="clear" w:color="auto" w:fill="auto"/>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主讲人</w:t>
            </w:r>
          </w:p>
        </w:tc>
        <w:tc>
          <w:tcPr>
            <w:tcW w:w="5953" w:type="dxa"/>
            <w:shd w:val="clear" w:color="auto" w:fill="auto"/>
            <w:vAlign w:val="center"/>
            <w:hideMark/>
          </w:tcPr>
          <w:p w:rsidR="00E55184" w:rsidRPr="00AB24D7" w:rsidRDefault="00E55184" w:rsidP="00E5110A">
            <w:pPr>
              <w:widowControl/>
              <w:spacing w:line="560" w:lineRule="exact"/>
              <w:jc w:val="center"/>
              <w:rPr>
                <w:rFonts w:ascii="华文仿宋" w:eastAsia="华文仿宋" w:hAnsi="华文仿宋" w:cs="宋体"/>
                <w:b/>
                <w:bCs/>
                <w:color w:val="000000"/>
                <w:kern w:val="0"/>
                <w:sz w:val="24"/>
                <w:szCs w:val="24"/>
              </w:rPr>
            </w:pPr>
            <w:r w:rsidRPr="00AB24D7">
              <w:rPr>
                <w:rFonts w:ascii="华文仿宋" w:eastAsia="华文仿宋" w:hAnsi="华文仿宋" w:cs="宋体" w:hint="eastAsia"/>
                <w:b/>
                <w:bCs/>
                <w:color w:val="000000"/>
                <w:kern w:val="0"/>
                <w:sz w:val="24"/>
                <w:szCs w:val="24"/>
              </w:rPr>
              <w:t>背景</w:t>
            </w:r>
          </w:p>
        </w:tc>
      </w:tr>
      <w:tr w:rsidR="00E55184" w:rsidRPr="00AB24D7" w:rsidTr="00E5110A">
        <w:trPr>
          <w:trHeight w:val="1065"/>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3</w:t>
            </w:r>
          </w:p>
        </w:tc>
        <w:tc>
          <w:tcPr>
            <w:tcW w:w="2197" w:type="dxa"/>
            <w:shd w:val="clear" w:color="auto" w:fill="auto"/>
            <w:noWrap/>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资管新规下IT及业务规划思考</w:t>
            </w:r>
          </w:p>
        </w:tc>
        <w:tc>
          <w:tcPr>
            <w:tcW w:w="1489"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郑都</w:t>
            </w:r>
            <w:r w:rsidRPr="00AB24D7">
              <w:rPr>
                <w:rFonts w:ascii="华文仿宋" w:eastAsia="华文仿宋" w:hAnsi="华文仿宋" w:cs="宋体" w:hint="eastAsia"/>
                <w:color w:val="000000"/>
                <w:kern w:val="0"/>
                <w:sz w:val="24"/>
                <w:szCs w:val="24"/>
              </w:rPr>
              <w:br/>
              <w:t>恒生电子股份有限公司</w:t>
            </w:r>
          </w:p>
        </w:tc>
        <w:tc>
          <w:tcPr>
            <w:tcW w:w="5953"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4"/>
                <w:szCs w:val="24"/>
              </w:rPr>
            </w:pPr>
            <w:r w:rsidRPr="00AB24D7">
              <w:rPr>
                <w:rFonts w:ascii="华文仿宋" w:eastAsia="华文仿宋" w:hAnsi="华文仿宋" w:cs="宋体" w:hint="eastAsia"/>
                <w:color w:val="000000"/>
                <w:kern w:val="0"/>
                <w:sz w:val="24"/>
                <w:szCs w:val="24"/>
              </w:rPr>
              <w:t>资深产品市场经理</w:t>
            </w:r>
            <w:r w:rsidRPr="00AB24D7">
              <w:rPr>
                <w:rFonts w:ascii="华文仿宋" w:eastAsia="华文仿宋" w:hAnsi="华文仿宋" w:cs="宋体" w:hint="eastAsia"/>
                <w:color w:val="000000"/>
                <w:kern w:val="0"/>
                <w:sz w:val="24"/>
                <w:szCs w:val="24"/>
              </w:rPr>
              <w:br/>
              <w:t>深耕资管行业IT解决方案近10年，先后负责信托、证券、基金、私募等行业的解决方案，多年来一直持续跟踪关注着资管业务的发展及行业变化，对中国资产管理业务领域发展有着自己深刻的见解。</w:t>
            </w:r>
          </w:p>
        </w:tc>
      </w:tr>
      <w:tr w:rsidR="00E55184" w:rsidRPr="00AB24D7" w:rsidTr="00E5110A">
        <w:trPr>
          <w:trHeight w:val="1065"/>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4</w:t>
            </w:r>
          </w:p>
        </w:tc>
        <w:tc>
          <w:tcPr>
            <w:tcW w:w="2197" w:type="dxa"/>
            <w:shd w:val="clear" w:color="auto" w:fill="auto"/>
            <w:noWrap/>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基金公司绩效评估体系与系统建设</w:t>
            </w:r>
          </w:p>
        </w:tc>
        <w:tc>
          <w:tcPr>
            <w:tcW w:w="1489"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阮肖玲</w:t>
            </w:r>
            <w:r w:rsidRPr="00AB24D7">
              <w:rPr>
                <w:rFonts w:ascii="华文仿宋" w:eastAsia="华文仿宋" w:hAnsi="华文仿宋" w:cs="宋体" w:hint="eastAsia"/>
                <w:color w:val="000000"/>
                <w:kern w:val="0"/>
                <w:sz w:val="22"/>
              </w:rPr>
              <w:br/>
              <w:t>杭州衡泰软件有限公司</w:t>
            </w:r>
          </w:p>
        </w:tc>
        <w:tc>
          <w:tcPr>
            <w:tcW w:w="5953"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产品总监，在公募基金、保险资管、银行托管、养老金等各行业的投资组合绩效评估与风险管理领域有多年的实战经验。</w:t>
            </w:r>
          </w:p>
        </w:tc>
      </w:tr>
      <w:tr w:rsidR="00E55184" w:rsidRPr="00AB24D7" w:rsidTr="00E5110A">
        <w:trPr>
          <w:trHeight w:val="1875"/>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5</w:t>
            </w:r>
          </w:p>
        </w:tc>
        <w:tc>
          <w:tcPr>
            <w:tcW w:w="2197" w:type="dxa"/>
            <w:shd w:val="clear" w:color="auto" w:fill="auto"/>
            <w:noWrap/>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大数据&amp;AI赋能金融行业</w:t>
            </w:r>
          </w:p>
        </w:tc>
        <w:tc>
          <w:tcPr>
            <w:tcW w:w="1489"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应雄</w:t>
            </w:r>
            <w:r w:rsidRPr="00AB24D7">
              <w:rPr>
                <w:rFonts w:ascii="华文仿宋" w:eastAsia="华文仿宋" w:hAnsi="华文仿宋" w:cs="宋体" w:hint="eastAsia"/>
                <w:color w:val="000000"/>
                <w:kern w:val="0"/>
                <w:sz w:val="22"/>
              </w:rPr>
              <w:br/>
              <w:t>恒生电子股份有限公司</w:t>
            </w:r>
          </w:p>
        </w:tc>
        <w:tc>
          <w:tcPr>
            <w:tcW w:w="5953"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研发中心高级架构师，负责公司创新业务和技术的架构、技术预研和关键技术落地。对</w:t>
            </w:r>
            <w:proofErr w:type="spellStart"/>
            <w:r w:rsidRPr="00AB24D7">
              <w:rPr>
                <w:rFonts w:ascii="华文仿宋" w:eastAsia="华文仿宋" w:hAnsi="华文仿宋" w:cs="宋体" w:hint="eastAsia"/>
                <w:color w:val="000000"/>
                <w:kern w:val="0"/>
                <w:sz w:val="22"/>
              </w:rPr>
              <w:t>HaDoop</w:t>
            </w:r>
            <w:proofErr w:type="spellEnd"/>
            <w:r w:rsidRPr="00AB24D7">
              <w:rPr>
                <w:rFonts w:ascii="华文仿宋" w:eastAsia="华文仿宋" w:hAnsi="华文仿宋" w:cs="宋体" w:hint="eastAsia"/>
                <w:color w:val="000000"/>
                <w:kern w:val="0"/>
                <w:sz w:val="22"/>
              </w:rPr>
              <w:t>、Spark等大数据生态技术有深入的研究；同时对机器学习算法及平台等有深入的应用；在金融行业具有丰富的大数据、AI相关应用落地实战经验。</w:t>
            </w:r>
          </w:p>
        </w:tc>
      </w:tr>
      <w:tr w:rsidR="00E55184" w:rsidRPr="00AB24D7" w:rsidTr="00E5110A">
        <w:trPr>
          <w:trHeight w:val="1350"/>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6</w:t>
            </w:r>
          </w:p>
        </w:tc>
        <w:tc>
          <w:tcPr>
            <w:tcW w:w="2197"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proofErr w:type="spellStart"/>
            <w:r w:rsidRPr="00AB24D7">
              <w:rPr>
                <w:rFonts w:ascii="华文仿宋" w:eastAsia="华文仿宋" w:hAnsi="华文仿宋" w:cs="宋体" w:hint="eastAsia"/>
                <w:color w:val="000000"/>
                <w:kern w:val="0"/>
                <w:sz w:val="22"/>
              </w:rPr>
              <w:t>Fintech+AI</w:t>
            </w:r>
            <w:proofErr w:type="spellEnd"/>
            <w:r w:rsidRPr="00AB24D7">
              <w:rPr>
                <w:rFonts w:ascii="华文仿宋" w:eastAsia="华文仿宋" w:hAnsi="华文仿宋" w:cs="宋体" w:hint="eastAsia"/>
                <w:color w:val="000000"/>
                <w:kern w:val="0"/>
                <w:sz w:val="22"/>
              </w:rPr>
              <w:t>=金融新机遇与变革</w:t>
            </w:r>
          </w:p>
        </w:tc>
        <w:tc>
          <w:tcPr>
            <w:tcW w:w="1489"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高翰昆</w:t>
            </w:r>
            <w:r w:rsidRPr="00AB24D7">
              <w:rPr>
                <w:rFonts w:ascii="华文仿宋" w:eastAsia="华文仿宋" w:hAnsi="华文仿宋" w:cs="宋体" w:hint="eastAsia"/>
                <w:color w:val="000000"/>
                <w:kern w:val="0"/>
                <w:sz w:val="22"/>
              </w:rPr>
              <w:br/>
              <w:t>宁波森浦融讯科技有限公司</w:t>
            </w:r>
          </w:p>
        </w:tc>
        <w:tc>
          <w:tcPr>
            <w:tcW w:w="5953"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行业从业近10年，曾在万家基金先后从事股票交易、债券交易、担任债券交易管理、交易代总监、以及基金经理一职。在担任基金经理期间所管理的万家双引擎灵活配置混合型证券投资基金荣获第十四届“金基金”灵活配置型基金奖，在公募基金领域有着非常丰富的经验。</w:t>
            </w:r>
          </w:p>
        </w:tc>
      </w:tr>
      <w:tr w:rsidR="00E55184" w:rsidRPr="00AB24D7" w:rsidTr="00E5110A">
        <w:trPr>
          <w:trHeight w:val="810"/>
          <w:jc w:val="center"/>
        </w:trPr>
        <w:tc>
          <w:tcPr>
            <w:tcW w:w="892" w:type="dxa"/>
            <w:shd w:val="clear" w:color="auto" w:fill="auto"/>
            <w:noWrap/>
            <w:vAlign w:val="center"/>
            <w:hideMark/>
          </w:tcPr>
          <w:p w:rsidR="00E55184" w:rsidRPr="00AB24D7" w:rsidRDefault="00E55184" w:rsidP="00E5110A">
            <w:pPr>
              <w:widowControl/>
              <w:spacing w:line="560" w:lineRule="exact"/>
              <w:jc w:val="center"/>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7</w:t>
            </w:r>
          </w:p>
        </w:tc>
        <w:tc>
          <w:tcPr>
            <w:tcW w:w="2197" w:type="dxa"/>
            <w:shd w:val="clear" w:color="auto" w:fill="auto"/>
            <w:noWrap/>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实践和探索：大数据2.0与人工智能1.0及金融科技发展新趋势</w:t>
            </w:r>
          </w:p>
        </w:tc>
        <w:tc>
          <w:tcPr>
            <w:tcW w:w="1489"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张月鹏</w:t>
            </w:r>
            <w:r w:rsidRPr="00AB24D7">
              <w:rPr>
                <w:rFonts w:ascii="华文仿宋" w:eastAsia="华文仿宋" w:hAnsi="华文仿宋" w:cs="宋体" w:hint="eastAsia"/>
                <w:color w:val="000000"/>
                <w:kern w:val="0"/>
                <w:sz w:val="22"/>
              </w:rPr>
              <w:br/>
              <w:t>星环科技董事、副总裁</w:t>
            </w:r>
          </w:p>
        </w:tc>
        <w:tc>
          <w:tcPr>
            <w:tcW w:w="5953" w:type="dxa"/>
            <w:shd w:val="clear" w:color="auto" w:fill="auto"/>
            <w:vAlign w:val="center"/>
            <w:hideMark/>
          </w:tcPr>
          <w:p w:rsidR="00E55184" w:rsidRPr="00AB24D7" w:rsidRDefault="00E55184" w:rsidP="00E5110A">
            <w:pPr>
              <w:widowControl/>
              <w:spacing w:line="560" w:lineRule="exact"/>
              <w:rPr>
                <w:rFonts w:ascii="华文仿宋" w:eastAsia="华文仿宋" w:hAnsi="华文仿宋" w:cs="宋体"/>
                <w:color w:val="000000"/>
                <w:kern w:val="0"/>
                <w:sz w:val="22"/>
              </w:rPr>
            </w:pPr>
            <w:r w:rsidRPr="00AB24D7">
              <w:rPr>
                <w:rFonts w:ascii="华文仿宋" w:eastAsia="华文仿宋" w:hAnsi="华文仿宋" w:cs="宋体" w:hint="eastAsia"/>
                <w:color w:val="000000"/>
                <w:kern w:val="0"/>
                <w:sz w:val="22"/>
              </w:rPr>
              <w:t>精通智能化领域技术和金融业务，主题涵盖大数据和智能化平台、风控和营销、客户管理、产品设计等。具有20年金融机构战略规划和咨询顾问服务的经验。</w:t>
            </w:r>
          </w:p>
        </w:tc>
      </w:tr>
    </w:tbl>
    <w:p w:rsidR="002E3B9E" w:rsidRPr="00E55184" w:rsidRDefault="002E3B9E"/>
    <w:sectPr w:rsidR="002E3B9E" w:rsidRPr="00E55184" w:rsidSect="002E3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5184"/>
    <w:rsid w:val="00242961"/>
    <w:rsid w:val="002578EA"/>
    <w:rsid w:val="002E3B9E"/>
    <w:rsid w:val="003C5B14"/>
    <w:rsid w:val="005E06FE"/>
    <w:rsid w:val="0064570A"/>
    <w:rsid w:val="00647890"/>
    <w:rsid w:val="0092396A"/>
    <w:rsid w:val="00C60517"/>
    <w:rsid w:val="00E55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E06F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5E06FE"/>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王怡龙</dc:creator>
  <cp:lastModifiedBy>王怡龙</cp:lastModifiedBy>
  <cp:revision>1</cp:revision>
  <dcterms:created xsi:type="dcterms:W3CDTF">2018-10-31T02:36:00Z</dcterms:created>
  <dcterms:modified xsi:type="dcterms:W3CDTF">2018-10-31T02:36:00Z</dcterms:modified>
</cp:coreProperties>
</file>